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85EF9" w14:textId="640F3C57" w:rsidR="003D4670" w:rsidRDefault="00042954" w:rsidP="00042954">
      <w:pPr>
        <w:jc w:val="center"/>
        <w:rPr>
          <w:b/>
          <w:bCs/>
        </w:rPr>
      </w:pPr>
      <w:r>
        <w:rPr>
          <w:b/>
          <w:bCs/>
        </w:rPr>
        <w:t>KIỂM SOÁT THỦ TỤC HÀNH CHÍNH GÓP PHẦN XÂY DỰNG NỀN HÀNH CHÍNH HIỆN ĐẠI</w:t>
      </w:r>
    </w:p>
    <w:p w14:paraId="628A0B45" w14:textId="77777777" w:rsidR="00042954" w:rsidRDefault="00042954" w:rsidP="00042954">
      <w:pPr>
        <w:jc w:val="center"/>
        <w:rPr>
          <w:b/>
          <w:bCs/>
        </w:rPr>
      </w:pPr>
    </w:p>
    <w:p w14:paraId="61D3223A" w14:textId="284DC026" w:rsidR="00042954" w:rsidRDefault="00042954" w:rsidP="00042954">
      <w:pPr>
        <w:ind w:firstLine="720"/>
        <w:jc w:val="both"/>
      </w:pPr>
      <w:r>
        <w:t>Việc kiểm soát TTHC là nhiệm vụ của toàn bộ hệ thống hành chính, trách nhiệm của cán bộ, công chức, viên chức, các cá nhân, tổ chức tham gia thực hiện TTHC.</w:t>
      </w:r>
    </w:p>
    <w:p w14:paraId="78B81F81" w14:textId="0AADCB89" w:rsidR="00042954" w:rsidRDefault="00042954" w:rsidP="00042954">
      <w:pPr>
        <w:ind w:firstLine="720"/>
        <w:jc w:val="both"/>
      </w:pPr>
      <w:r w:rsidRPr="00042954">
        <w:t>Thông qua việc kiểm soát TTHC, mọi TTHC sẽ được công khai và thường</w:t>
      </w:r>
      <w:r>
        <w:t xml:space="preserve"> </w:t>
      </w:r>
      <w:r w:rsidRPr="00042954">
        <w:t>xuyên sửa đổi, bổ sung cho phù hợp với thực tế, tránh tình trạng tùy tiện, thiếu công khai, minh bạch trong việc ban hành và thực hiện TTHC tại nhiều cơ quan hành chính như thời gian qua.</w:t>
      </w:r>
    </w:p>
    <w:p w14:paraId="0C8B858F" w14:textId="7B976D6B" w:rsidR="00042954" w:rsidRDefault="00042954" w:rsidP="00042954">
      <w:pPr>
        <w:ind w:firstLine="720"/>
        <w:jc w:val="both"/>
      </w:pPr>
      <w:r>
        <w:t>N</w:t>
      </w:r>
      <w:r w:rsidRPr="00042954">
        <w:t xml:space="preserve">ếu không làm tốt công tác giám sát, kiểm soát TTHC thì các hoạt động nhằm cải cách </w:t>
      </w:r>
      <w:r>
        <w:t>TTHC</w:t>
      </w:r>
      <w:r w:rsidRPr="00042954">
        <w:t xml:space="preserve"> đôi khi chỉ mang tính hình thức. Sẽ có nhiều thủ tục được “cải cách” trên giấy tờ, không có tính thực thi trong thực tế</w:t>
      </w:r>
      <w:r>
        <w:t>.</w:t>
      </w:r>
    </w:p>
    <w:p w14:paraId="6AB47711" w14:textId="643AAE94" w:rsidR="00042954" w:rsidRDefault="00042954" w:rsidP="00042954">
      <w:pPr>
        <w:ind w:firstLine="720"/>
        <w:jc w:val="both"/>
      </w:pPr>
      <w:r>
        <w:t xml:space="preserve">Việc công khai TTHC được thực hiện theo nguyên tắc </w:t>
      </w:r>
      <w:r w:rsidRPr="00042954">
        <w:t>đầy đủ, thường xuyên, rõ ràng, đúng địa chỉ, dễ tiếp cận, dễ khai thác, sử dụng</w:t>
      </w:r>
      <w:r>
        <w:t xml:space="preserve"> và đăng tải thông tin rộng rãi cho người dân. Báo chí có vai trò quan trọng trong công tác kiểm soát TTHC.  </w:t>
      </w:r>
      <w:r w:rsidRPr="00042954">
        <w:t>Ngoài việc truyền tải các nội dung và lợi ích của công tác kiểm soát hành chính tới người dân, báo chí còn giúp cơ quan chức năng giám sát, phát hiện và đề xuất xử lý những điểm chưa phù hợp, những hiện tượng tiêu cực trong quá trình thực hiện các quy định hành chính.</w:t>
      </w:r>
    </w:p>
    <w:p w14:paraId="02D47970" w14:textId="18EFDDC4" w:rsidR="00042954" w:rsidRDefault="00042954" w:rsidP="00692B38">
      <w:pPr>
        <w:ind w:firstLine="720"/>
        <w:jc w:val="both"/>
      </w:pPr>
      <w:r>
        <w:t>Việc thiết lập cơ chế tiếp nhận phản ánh, kiến nghị về các quy định hành chính nhằm kịp thời xử lý hoặc chuyển cơ quan có thẩm quyền, qua đó kịp thời phát hiện và chấn chỉnh hành vi vi phạm của cán bộ, công chức, viên chức trong quá trình giải quyết TTHC</w:t>
      </w:r>
      <w:r w:rsidR="00692B38">
        <w:t>.</w:t>
      </w:r>
    </w:p>
    <w:p w14:paraId="1E5CA215" w14:textId="77777777" w:rsidR="00692948" w:rsidRDefault="00692B38" w:rsidP="00692B38">
      <w:pPr>
        <w:ind w:firstLine="720"/>
        <w:jc w:val="both"/>
      </w:pPr>
      <w:r>
        <w:t>Công tác kiểm soát TTHC cơ bản đem lại hiệu quả tích cực, chất lượng phục vụ khác hàng ngày càng được nâng cao. Thái độ phục vụ khách hàng tận tình, ý thức trách nhiệm trong thực thi công vụ của viên chức tạo điều kiện thuận lợi cho tổ chức, cá nhân đến liên hệ làm việc</w:t>
      </w:r>
      <w:r w:rsidR="00692948">
        <w:t>;</w:t>
      </w:r>
    </w:p>
    <w:p w14:paraId="46B2A735" w14:textId="284A3E86" w:rsidR="00692B38" w:rsidRDefault="00692B38" w:rsidP="00692B38">
      <w:pPr>
        <w:ind w:firstLine="720"/>
        <w:jc w:val="both"/>
      </w:pPr>
      <w:r>
        <w:t xml:space="preserve"> Đương cử như Qui trình khám chữa bệnh</w:t>
      </w:r>
      <w:r w:rsidR="00692948">
        <w:t xml:space="preserve"> (7 bước)</w:t>
      </w:r>
      <w:r>
        <w:t xml:space="preserve"> đã phần nào cắt giảm thời gian giải quyết thủ tục của khách hàng</w:t>
      </w:r>
      <w:r w:rsidR="00692948">
        <w:t>:</w:t>
      </w:r>
    </w:p>
    <w:p w14:paraId="29B96F15" w14:textId="47039D6B" w:rsidR="00692948" w:rsidRDefault="00692948" w:rsidP="00692948">
      <w:pPr>
        <w:ind w:firstLine="720"/>
        <w:jc w:val="both"/>
      </w:pPr>
      <w:r>
        <w:t>Bước 1: Lấy số thứ tự, Duyệt BHYT (Nếu có BHYT), mua sổ khám bệnh (Nếu chưa có sổ);</w:t>
      </w:r>
    </w:p>
    <w:p w14:paraId="4C172C21" w14:textId="4A921C2E" w:rsidR="00692948" w:rsidRDefault="00692948" w:rsidP="00692948">
      <w:pPr>
        <w:ind w:firstLine="720"/>
        <w:jc w:val="both"/>
      </w:pPr>
      <w:r>
        <w:t>Bước 2: Tiếp nhận bệnh (Mua phiếu khám bệnh nếu không có BHYT);</w:t>
      </w:r>
    </w:p>
    <w:p w14:paraId="05DBB36C" w14:textId="5217AB44" w:rsidR="00692948" w:rsidRDefault="00692948" w:rsidP="00692948">
      <w:pPr>
        <w:ind w:firstLine="720"/>
        <w:jc w:val="both"/>
      </w:pPr>
      <w:r>
        <w:t>Bước 3: Khám bệnh-Tư vấn-Cho y lệnh cận lâm sàng;</w:t>
      </w:r>
    </w:p>
    <w:p w14:paraId="617D0368" w14:textId="624FDF29" w:rsidR="00692948" w:rsidRDefault="00692948" w:rsidP="00692948">
      <w:pPr>
        <w:ind w:firstLine="720"/>
        <w:jc w:val="both"/>
      </w:pPr>
      <w:r>
        <w:t>Bước 4: Siêu âm, xét nghiệm… (Đóng tiền nếu không có BHYT);</w:t>
      </w:r>
    </w:p>
    <w:p w14:paraId="4D21EF33" w14:textId="1EB3C88D" w:rsidR="00692948" w:rsidRDefault="00692948" w:rsidP="00692948">
      <w:pPr>
        <w:ind w:firstLine="720"/>
        <w:jc w:val="both"/>
      </w:pPr>
      <w:r>
        <w:t>Bước 5: Xem kết quả-Chẩn đoán-Ghi đơn thuốc-Hướng dẫn người bệnh;</w:t>
      </w:r>
    </w:p>
    <w:p w14:paraId="0ACDA44A" w14:textId="65F94033" w:rsidR="00692948" w:rsidRDefault="00692948" w:rsidP="00692948">
      <w:pPr>
        <w:ind w:firstLine="720"/>
        <w:jc w:val="both"/>
      </w:pPr>
      <w:r>
        <w:t>Bước 6: Duyệt BHYT-Đóng tiền tại Phòng thu viện phí;</w:t>
      </w:r>
    </w:p>
    <w:p w14:paraId="550541D9" w14:textId="4BD8A7EF" w:rsidR="00692948" w:rsidRDefault="00692948" w:rsidP="00692948">
      <w:pPr>
        <w:ind w:firstLine="720"/>
        <w:jc w:val="both"/>
      </w:pPr>
      <w:r>
        <w:t>Bước 7: Lãnh thuốc/Mua thuốc.</w:t>
      </w:r>
    </w:p>
    <w:p w14:paraId="35564347" w14:textId="232F7E1F" w:rsidR="00692948" w:rsidRPr="00692948" w:rsidRDefault="00692948" w:rsidP="00692948">
      <w:pPr>
        <w:rPr>
          <w:b/>
          <w:i/>
          <w:color w:val="0000FF"/>
          <w:sz w:val="24"/>
          <w:szCs w:val="24"/>
          <w:u w:val="single"/>
        </w:rPr>
      </w:pPr>
      <w:r w:rsidRPr="00692948">
        <w:rPr>
          <w:b/>
          <w:i/>
          <w:color w:val="FF0000"/>
          <w:sz w:val="24"/>
          <w:szCs w:val="24"/>
          <w:u w:val="single"/>
        </w:rPr>
        <w:lastRenderedPageBreak/>
        <w:t xml:space="preserve">LƯU Ý: </w:t>
      </w:r>
      <w:r w:rsidRPr="00692948">
        <w:rPr>
          <w:b/>
          <w:color w:val="0000FF"/>
          <w:sz w:val="24"/>
          <w:szCs w:val="24"/>
        </w:rPr>
        <w:t>Bệnh nhân có bảo hiểm y tế (BHYT)</w:t>
      </w:r>
      <w:r w:rsidRPr="00692948">
        <w:rPr>
          <w:b/>
          <w:sz w:val="24"/>
          <w:szCs w:val="24"/>
        </w:rPr>
        <w:t xml:space="preserve">: </w:t>
      </w:r>
      <w:r w:rsidRPr="00692948">
        <w:rPr>
          <w:b/>
          <w:i/>
          <w:sz w:val="24"/>
          <w:szCs w:val="24"/>
        </w:rPr>
        <w:t>xuất trình thẻ BHYT, giấy tờ tùy thân có ảnh, giấy chuyển viện. 01 giấy chuyển viện được khám một lần. Nếu đăng ký khám chữa bệnh ban đầu tại BVĐKTT TG thì chỉ cần chuyển viện 01 lần. Khám lần thứ hai  trở đi (tái khám) sử dụng giấy hẹn</w:t>
      </w:r>
      <w:r w:rsidRPr="00692948">
        <w:rPr>
          <w:b/>
          <w:sz w:val="24"/>
          <w:szCs w:val="24"/>
        </w:rPr>
        <w:t xml:space="preserve"> </w:t>
      </w:r>
      <w:r w:rsidRPr="00692948">
        <w:rPr>
          <w:b/>
          <w:i/>
          <w:sz w:val="24"/>
          <w:szCs w:val="24"/>
        </w:rPr>
        <w:t xml:space="preserve">khám </w:t>
      </w:r>
      <w:r>
        <w:rPr>
          <w:b/>
          <w:i/>
          <w:sz w:val="24"/>
          <w:szCs w:val="24"/>
        </w:rPr>
        <w:t>.</w:t>
      </w:r>
    </w:p>
    <w:p w14:paraId="633EA8BF" w14:textId="521A328C" w:rsidR="00692B38" w:rsidRDefault="00692948">
      <w:r>
        <w:tab/>
      </w:r>
    </w:p>
    <w:sectPr w:rsidR="00692B38" w:rsidSect="00324385">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54"/>
    <w:rsid w:val="00042954"/>
    <w:rsid w:val="00324385"/>
    <w:rsid w:val="003D4670"/>
    <w:rsid w:val="00692948"/>
    <w:rsid w:val="00692B38"/>
    <w:rsid w:val="006B02F2"/>
    <w:rsid w:val="00F06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B57CA"/>
  <w15:chartTrackingRefBased/>
  <w15:docId w15:val="{8BF0472D-9354-41F3-BB53-0406C31C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2023-10-03T08:34:00Z</dcterms:created>
  <dcterms:modified xsi:type="dcterms:W3CDTF">2024-03-04T08:35:00Z</dcterms:modified>
</cp:coreProperties>
</file>